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D8" w:rsidRDefault="003120D8" w:rsidP="003120D8">
      <w:pPr>
        <w:pStyle w:val="Heading2"/>
        <w:shd w:val="clear" w:color="auto" w:fill="EEF3FA"/>
        <w:spacing w:before="225" w:after="150"/>
        <w:rPr>
          <w:rFonts w:ascii="Arial" w:hAnsi="Arial" w:cs="Arial"/>
          <w:color w:val="272727"/>
          <w:spacing w:val="-8"/>
        </w:rPr>
      </w:pPr>
      <w:r>
        <w:rPr>
          <w:rFonts w:ascii="Arial" w:hAnsi="Arial" w:cs="Arial"/>
          <w:color w:val="272727"/>
          <w:spacing w:val="-8"/>
        </w:rPr>
        <w:t xml:space="preserve">A47 Blofield to North Burlingham – Consultation </w:t>
      </w:r>
    </w:p>
    <w:p w:rsidR="003120D8" w:rsidRDefault="003120D8" w:rsidP="003120D8">
      <w:pPr>
        <w:pStyle w:val="NormalWeb"/>
        <w:shd w:val="clear" w:color="auto" w:fill="EEF3FA"/>
        <w:spacing w:before="0" w:beforeAutospacing="0" w:after="150" w:afterAutospacing="0"/>
        <w:rPr>
          <w:rFonts w:ascii="Arial" w:hAnsi="Arial" w:cs="Arial"/>
          <w:color w:val="030303"/>
          <w:sz w:val="21"/>
          <w:szCs w:val="21"/>
        </w:rPr>
      </w:pPr>
      <w:proofErr w:type="gramStart"/>
      <w:r>
        <w:rPr>
          <w:rFonts w:ascii="Arial" w:hAnsi="Arial" w:cs="Arial"/>
          <w:color w:val="030303"/>
          <w:sz w:val="21"/>
          <w:szCs w:val="21"/>
        </w:rPr>
        <w:t>Two new junctions to improve a section of the A47.</w:t>
      </w:r>
      <w:proofErr w:type="gramEnd"/>
    </w:p>
    <w:tbl>
      <w:tblPr>
        <w:tblW w:w="4275" w:type="dxa"/>
        <w:shd w:val="clear" w:color="auto" w:fill="FFFFFF"/>
        <w:tblCellMar>
          <w:top w:w="15" w:type="dxa"/>
          <w:left w:w="15" w:type="dxa"/>
          <w:bottom w:w="15" w:type="dxa"/>
          <w:right w:w="15" w:type="dxa"/>
        </w:tblCellMar>
        <w:tblLook w:val="04A0"/>
      </w:tblPr>
      <w:tblGrid>
        <w:gridCol w:w="1112"/>
        <w:gridCol w:w="3163"/>
      </w:tblGrid>
      <w:tr w:rsidR="003120D8" w:rsidTr="003120D8">
        <w:tc>
          <w:tcPr>
            <w:tcW w:w="1112" w:type="dxa"/>
            <w:tcBorders>
              <w:top w:val="single" w:sz="6" w:space="0" w:color="DDDDDD"/>
            </w:tcBorders>
            <w:shd w:val="clear" w:color="auto" w:fill="F9F9F9"/>
            <w:tcMar>
              <w:top w:w="150" w:type="dxa"/>
              <w:left w:w="0" w:type="dxa"/>
              <w:bottom w:w="150" w:type="dxa"/>
              <w:right w:w="0" w:type="dxa"/>
            </w:tcMar>
            <w:hideMark/>
          </w:tcPr>
          <w:p w:rsidR="003120D8" w:rsidRDefault="003120D8">
            <w:pPr>
              <w:spacing w:after="300"/>
              <w:rPr>
                <w:sz w:val="24"/>
                <w:szCs w:val="24"/>
              </w:rPr>
            </w:pPr>
            <w:r>
              <w:rPr>
                <w:rStyle w:val="sub-header"/>
              </w:rPr>
              <w:t>Programme:</w:t>
            </w:r>
          </w:p>
        </w:tc>
        <w:tc>
          <w:tcPr>
            <w:tcW w:w="0" w:type="auto"/>
            <w:tcBorders>
              <w:top w:val="single" w:sz="6" w:space="0" w:color="DDDDDD"/>
            </w:tcBorders>
            <w:shd w:val="clear" w:color="auto" w:fill="F9F9F9"/>
            <w:tcMar>
              <w:top w:w="150" w:type="dxa"/>
              <w:left w:w="0" w:type="dxa"/>
              <w:bottom w:w="150" w:type="dxa"/>
              <w:right w:w="0" w:type="dxa"/>
            </w:tcMar>
            <w:hideMark/>
          </w:tcPr>
          <w:p w:rsidR="003120D8" w:rsidRDefault="003120D8">
            <w:pPr>
              <w:spacing w:after="300"/>
              <w:rPr>
                <w:sz w:val="24"/>
                <w:szCs w:val="24"/>
              </w:rPr>
            </w:pPr>
            <w:r>
              <w:rPr>
                <w:rStyle w:val="Strong"/>
              </w:rPr>
              <w:t> </w:t>
            </w:r>
            <w:hyperlink r:id="rId4" w:tgtFrame="_blank" w:history="1">
              <w:r>
                <w:rPr>
                  <w:rStyle w:val="Hyperlink"/>
                  <w:b/>
                  <w:bCs/>
                  <w:color w:val="1329FF"/>
                </w:rPr>
                <w:t>A47 corridor improvement programme</w:t>
              </w:r>
            </w:hyperlink>
          </w:p>
        </w:tc>
      </w:tr>
    </w:tbl>
    <w:p w:rsidR="003120D8" w:rsidRPr="003120D8" w:rsidRDefault="003120D8" w:rsidP="003120D8">
      <w:pPr>
        <w:shd w:val="clear" w:color="auto" w:fill="FFFFFF"/>
        <w:spacing w:before="300" w:after="150" w:line="240" w:lineRule="auto"/>
        <w:outlineLvl w:val="2"/>
        <w:rPr>
          <w:rFonts w:ascii="Arial" w:eastAsia="Times New Roman" w:hAnsi="Arial" w:cs="Arial"/>
          <w:b/>
          <w:bCs/>
          <w:color w:val="272727"/>
          <w:spacing w:val="-8"/>
          <w:sz w:val="36"/>
          <w:szCs w:val="36"/>
          <w:lang w:eastAsia="en-GB"/>
        </w:rPr>
      </w:pPr>
      <w:r w:rsidRPr="003120D8">
        <w:rPr>
          <w:rFonts w:ascii="Arial" w:eastAsia="Times New Roman" w:hAnsi="Arial" w:cs="Arial"/>
          <w:b/>
          <w:bCs/>
          <w:color w:val="272727"/>
          <w:spacing w:val="-8"/>
          <w:sz w:val="36"/>
          <w:szCs w:val="36"/>
          <w:lang w:eastAsia="en-GB"/>
        </w:rPr>
        <w:t>What's next?</w:t>
      </w:r>
    </w:p>
    <w:p w:rsidR="003120D8" w:rsidRPr="003120D8" w:rsidRDefault="003120D8" w:rsidP="003120D8">
      <w:pPr>
        <w:shd w:val="clear" w:color="auto" w:fill="FFFFFF"/>
        <w:spacing w:before="150" w:after="15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We’ll consult fully on our proposals during our statutory consultation which we’re holding between Monday 10 September and Friday 19 October 2018.</w:t>
      </w:r>
    </w:p>
    <w:p w:rsidR="003120D8" w:rsidRPr="003120D8" w:rsidRDefault="003120D8" w:rsidP="003120D8">
      <w:pPr>
        <w:shd w:val="clear" w:color="auto" w:fill="FFFFFF"/>
        <w:spacing w:before="150" w:after="15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During the consultation, we’ll be holding the following 4 public events where you’ll be able to view the consultation materials and meet the project team to ask any questions you may have.</w:t>
      </w:r>
    </w:p>
    <w:tbl>
      <w:tblPr>
        <w:tblW w:w="11265" w:type="dxa"/>
        <w:shd w:val="clear" w:color="auto" w:fill="FFFFFF"/>
        <w:tblCellMar>
          <w:top w:w="15" w:type="dxa"/>
          <w:left w:w="15" w:type="dxa"/>
          <w:bottom w:w="15" w:type="dxa"/>
          <w:right w:w="15" w:type="dxa"/>
        </w:tblCellMar>
        <w:tblLook w:val="04A0"/>
      </w:tblPr>
      <w:tblGrid>
        <w:gridCol w:w="4014"/>
        <w:gridCol w:w="4943"/>
        <w:gridCol w:w="2308"/>
      </w:tblGrid>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Location</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Date</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Time</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Castle Mall, Norwich</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Saturday 15 September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11am - 5pm</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Acle Recreation Centre</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Saturday 22 September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11am - 5pm</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Blofield Courthouse</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Monday 24 September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1pm - 8pm</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Lingwood Village Hall</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Tuesday 25 September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1pm - 8pm</w:t>
            </w:r>
          </w:p>
        </w:tc>
      </w:tr>
    </w:tbl>
    <w:p w:rsidR="003120D8" w:rsidRPr="003120D8" w:rsidRDefault="003120D8" w:rsidP="003120D8">
      <w:pPr>
        <w:shd w:val="clear" w:color="auto" w:fill="FFFFFF"/>
        <w:spacing w:before="150" w:after="15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Consultation materials and the online feedback form will be available from 10 September until 19 October 2018 via this webpage, or you’ll be able to find paper copies at the following locations:</w:t>
      </w:r>
    </w:p>
    <w:tbl>
      <w:tblPr>
        <w:tblW w:w="11265" w:type="dxa"/>
        <w:shd w:val="clear" w:color="auto" w:fill="FFFFFF"/>
        <w:tblCellMar>
          <w:top w:w="15" w:type="dxa"/>
          <w:left w:w="15" w:type="dxa"/>
          <w:bottom w:w="15" w:type="dxa"/>
          <w:right w:w="15" w:type="dxa"/>
        </w:tblCellMar>
        <w:tblLook w:val="04A0"/>
      </w:tblPr>
      <w:tblGrid>
        <w:gridCol w:w="6875"/>
        <w:gridCol w:w="4390"/>
      </w:tblGrid>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Location</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Opening times</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Lingwood Village Hall – Station Road, Lingwood, Norwich, NR13 4AZ</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8:45am – 3pm Monday to Thursday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Blofield Library – North Street, Blofield, NR14 4RQ</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1pm – 7pm Monday</w:t>
            </w:r>
            <w:r w:rsidRPr="003120D8">
              <w:rPr>
                <w:rFonts w:ascii="Arial" w:eastAsia="Times New Roman" w:hAnsi="Arial" w:cs="Arial"/>
                <w:color w:val="030303"/>
                <w:sz w:val="21"/>
                <w:szCs w:val="21"/>
                <w:lang w:eastAsia="en-GB"/>
              </w:rPr>
              <w:br/>
              <w:t>10:30am – 7pm Wednesday</w:t>
            </w:r>
            <w:r w:rsidRPr="003120D8">
              <w:rPr>
                <w:rFonts w:ascii="Arial" w:eastAsia="Times New Roman" w:hAnsi="Arial" w:cs="Arial"/>
                <w:color w:val="030303"/>
                <w:sz w:val="21"/>
                <w:szCs w:val="21"/>
                <w:lang w:eastAsia="en-GB"/>
              </w:rPr>
              <w:br/>
              <w:t>4pm – 7pm Friday</w:t>
            </w:r>
            <w:r w:rsidRPr="003120D8">
              <w:rPr>
                <w:rFonts w:ascii="Arial" w:eastAsia="Times New Roman" w:hAnsi="Arial" w:cs="Arial"/>
                <w:color w:val="030303"/>
                <w:sz w:val="21"/>
                <w:szCs w:val="21"/>
                <w:lang w:eastAsia="en-GB"/>
              </w:rPr>
              <w:br/>
              <w:t>12 noon – 4pm Saturday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Blofield Post Office – 10 Church Alley, Blofield, Norwich NR13 4JJ</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7:30am – 8pm Monday to Saturday</w:t>
            </w:r>
            <w:r w:rsidRPr="003120D8">
              <w:rPr>
                <w:rFonts w:ascii="Arial" w:eastAsia="Times New Roman" w:hAnsi="Arial" w:cs="Arial"/>
                <w:color w:val="030303"/>
                <w:sz w:val="21"/>
                <w:szCs w:val="21"/>
                <w:lang w:eastAsia="en-GB"/>
              </w:rPr>
              <w:br/>
              <w:t>9am – 5pm Sunday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lastRenderedPageBreak/>
              <w:t>Norfolk and Norwich Millennium Library – The Forum, Millennium Plain, Norwich, NR2 1AW</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10am – 7pm Monday to Friday</w:t>
            </w:r>
            <w:r w:rsidRPr="003120D8">
              <w:rPr>
                <w:rFonts w:ascii="Arial" w:eastAsia="Times New Roman" w:hAnsi="Arial" w:cs="Arial"/>
                <w:color w:val="030303"/>
                <w:sz w:val="21"/>
                <w:szCs w:val="21"/>
                <w:lang w:eastAsia="en-GB"/>
              </w:rPr>
              <w:br/>
              <w:t>9am – 5pm Saturday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Broadland District Council – Thorpe Lodge, 1 Yarmouth Road, Norwich, NR7 0DU</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8:30am – 5pm Monday to Friday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Norwich City Council - City Hall, St Peters Street, Norwich, NR2 1NH</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8:45am – 5pm Monday, Tuesday, Thursday and Friday</w:t>
            </w:r>
            <w:r w:rsidRPr="003120D8">
              <w:rPr>
                <w:rFonts w:ascii="Arial" w:eastAsia="Times New Roman" w:hAnsi="Arial" w:cs="Arial"/>
                <w:color w:val="030303"/>
                <w:sz w:val="21"/>
                <w:szCs w:val="21"/>
                <w:lang w:eastAsia="en-GB"/>
              </w:rPr>
              <w:br/>
              <w:t>1pm – 5pm Wednesday</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Norfolk County Council – County Hall, Martineau Lane, Norwich, NR1 2DH</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9am – 5pm Monday to Friday</w:t>
            </w:r>
          </w:p>
        </w:tc>
      </w:tr>
    </w:tbl>
    <w:p w:rsidR="003120D8" w:rsidRPr="003120D8" w:rsidRDefault="003120D8" w:rsidP="003120D8">
      <w:pPr>
        <w:shd w:val="clear" w:color="auto" w:fill="FFFFFF"/>
        <w:spacing w:before="300" w:after="150" w:line="240" w:lineRule="auto"/>
        <w:outlineLvl w:val="2"/>
        <w:rPr>
          <w:rFonts w:ascii="Arial" w:eastAsia="Times New Roman" w:hAnsi="Arial" w:cs="Arial"/>
          <w:b/>
          <w:bCs/>
          <w:color w:val="272727"/>
          <w:spacing w:val="-8"/>
          <w:sz w:val="36"/>
          <w:szCs w:val="36"/>
          <w:lang w:eastAsia="en-GB"/>
        </w:rPr>
      </w:pPr>
      <w:r w:rsidRPr="003120D8">
        <w:rPr>
          <w:rFonts w:ascii="Arial" w:eastAsia="Times New Roman" w:hAnsi="Arial" w:cs="Arial"/>
          <w:b/>
          <w:bCs/>
          <w:color w:val="272727"/>
          <w:spacing w:val="-8"/>
          <w:sz w:val="36"/>
          <w:szCs w:val="36"/>
          <w:lang w:eastAsia="en-GB"/>
        </w:rPr>
        <w:t>Timeline</w:t>
      </w:r>
    </w:p>
    <w:tbl>
      <w:tblPr>
        <w:tblW w:w="11265" w:type="dxa"/>
        <w:shd w:val="clear" w:color="auto" w:fill="FFFFFF"/>
        <w:tblCellMar>
          <w:top w:w="15" w:type="dxa"/>
          <w:left w:w="15" w:type="dxa"/>
          <w:bottom w:w="15" w:type="dxa"/>
          <w:right w:w="15" w:type="dxa"/>
        </w:tblCellMar>
        <w:tblLook w:val="04A0"/>
      </w:tblPr>
      <w:tblGrid>
        <w:gridCol w:w="1777"/>
        <w:gridCol w:w="9488"/>
      </w:tblGrid>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Date</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b/>
                <w:bCs/>
                <w:color w:val="030303"/>
                <w:sz w:val="21"/>
                <w:szCs w:val="21"/>
                <w:lang w:eastAsia="en-GB"/>
              </w:rPr>
            </w:pPr>
            <w:r w:rsidRPr="003120D8">
              <w:rPr>
                <w:rFonts w:ascii="Arial" w:eastAsia="Times New Roman" w:hAnsi="Arial" w:cs="Arial"/>
                <w:b/>
                <w:bCs/>
                <w:color w:val="030303"/>
                <w:sz w:val="21"/>
                <w:szCs w:val="21"/>
                <w:lang w:eastAsia="en-GB"/>
              </w:rPr>
              <w:t>Event</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August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Publication of Statement of Community Consultation</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September 2018</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Statutory consultation</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2019</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Development Consent Order submitted. You will have further opportunity to comment on the scheme at this stage</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2021</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Start of works</w:t>
            </w:r>
          </w:p>
        </w:tc>
      </w:tr>
      <w:tr w:rsidR="003120D8" w:rsidRPr="003120D8" w:rsidTr="003120D8">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December 2022</w:t>
            </w:r>
          </w:p>
        </w:tc>
        <w:tc>
          <w:tcPr>
            <w:tcW w:w="0" w:type="auto"/>
            <w:tcBorders>
              <w:top w:val="single" w:sz="6" w:space="0" w:color="F2F2F2"/>
            </w:tcBorders>
            <w:shd w:val="clear" w:color="auto" w:fill="FFFFFF"/>
            <w:tcMar>
              <w:top w:w="120" w:type="dxa"/>
              <w:left w:w="150" w:type="dxa"/>
              <w:bottom w:w="120" w:type="dxa"/>
              <w:right w:w="150" w:type="dxa"/>
            </w:tcMar>
            <w:vAlign w:val="center"/>
            <w:hideMark/>
          </w:tcPr>
          <w:p w:rsidR="003120D8" w:rsidRPr="003120D8" w:rsidRDefault="003120D8" w:rsidP="003120D8">
            <w:pPr>
              <w:spacing w:after="360" w:line="240" w:lineRule="auto"/>
              <w:rPr>
                <w:rFonts w:ascii="Arial" w:eastAsia="Times New Roman" w:hAnsi="Arial" w:cs="Arial"/>
                <w:color w:val="030303"/>
                <w:sz w:val="21"/>
                <w:szCs w:val="21"/>
                <w:lang w:eastAsia="en-GB"/>
              </w:rPr>
            </w:pPr>
            <w:r w:rsidRPr="003120D8">
              <w:rPr>
                <w:rFonts w:ascii="Arial" w:eastAsia="Times New Roman" w:hAnsi="Arial" w:cs="Arial"/>
                <w:color w:val="030303"/>
                <w:sz w:val="21"/>
                <w:szCs w:val="21"/>
                <w:lang w:eastAsia="en-GB"/>
              </w:rPr>
              <w:t>Open for traffic</w:t>
            </w:r>
          </w:p>
        </w:tc>
      </w:tr>
    </w:tbl>
    <w:p w:rsidR="00581AA6" w:rsidRDefault="00581AA6"/>
    <w:sectPr w:rsidR="00581AA6" w:rsidSect="00581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0D8"/>
    <w:rsid w:val="003120D8"/>
    <w:rsid w:val="00581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A6"/>
  </w:style>
  <w:style w:type="paragraph" w:styleId="Heading2">
    <w:name w:val="heading 2"/>
    <w:basedOn w:val="Normal"/>
    <w:next w:val="Normal"/>
    <w:link w:val="Heading2Char"/>
    <w:uiPriority w:val="9"/>
    <w:semiHidden/>
    <w:unhideWhenUsed/>
    <w:qFormat/>
    <w:rsid w:val="00312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20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0D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2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120D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120D8"/>
    <w:rPr>
      <w:b/>
      <w:bCs/>
    </w:rPr>
  </w:style>
  <w:style w:type="character" w:customStyle="1" w:styleId="sub-header">
    <w:name w:val="sub-header"/>
    <w:basedOn w:val="DefaultParagraphFont"/>
    <w:rsid w:val="003120D8"/>
  </w:style>
  <w:style w:type="character" w:styleId="Hyperlink">
    <w:name w:val="Hyperlink"/>
    <w:basedOn w:val="DefaultParagraphFont"/>
    <w:uiPriority w:val="99"/>
    <w:semiHidden/>
    <w:unhideWhenUsed/>
    <w:rsid w:val="003120D8"/>
    <w:rPr>
      <w:color w:val="0000FF"/>
      <w:u w:val="single"/>
    </w:rPr>
  </w:style>
</w:styles>
</file>

<file path=word/webSettings.xml><?xml version="1.0" encoding="utf-8"?>
<w:webSettings xmlns:r="http://schemas.openxmlformats.org/officeDocument/2006/relationships" xmlns:w="http://schemas.openxmlformats.org/wordprocessingml/2006/main">
  <w:divs>
    <w:div w:id="1394309863">
      <w:bodyDiv w:val="1"/>
      <w:marLeft w:val="0"/>
      <w:marRight w:val="0"/>
      <w:marTop w:val="0"/>
      <w:marBottom w:val="0"/>
      <w:divBdr>
        <w:top w:val="none" w:sz="0" w:space="0" w:color="auto"/>
        <w:left w:val="none" w:sz="0" w:space="0" w:color="auto"/>
        <w:bottom w:val="none" w:sz="0" w:space="0" w:color="auto"/>
        <w:right w:val="none" w:sz="0" w:space="0" w:color="auto"/>
      </w:divBdr>
    </w:div>
    <w:div w:id="17506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ghwaysengland.co.uk/programmes/a47-corridor-improvemen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Dickinson</dc:creator>
  <cp:lastModifiedBy>Sonya Dickinson</cp:lastModifiedBy>
  <cp:revision>1</cp:revision>
  <dcterms:created xsi:type="dcterms:W3CDTF">2018-08-29T12:46:00Z</dcterms:created>
  <dcterms:modified xsi:type="dcterms:W3CDTF">2018-08-29T12:48:00Z</dcterms:modified>
</cp:coreProperties>
</file>